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2282C" w14:textId="23BAE1A2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701C56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6CA2C139" w14:textId="77777777" w:rsidR="00287CD9" w:rsidRDefault="00287CD9" w:rsidP="00287C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DB92A1" w14:textId="77777777" w:rsidR="00287CD9" w:rsidRDefault="00287CD9" w:rsidP="00287CD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14950C1F" w14:textId="77777777" w:rsidR="00287CD9" w:rsidRDefault="00287CD9" w:rsidP="00287C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4FECEBD" w14:textId="77777777" w:rsidR="00287CD9" w:rsidRDefault="00287CD9" w:rsidP="00287C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7217E66B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F86B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0DD524AA" w14:textId="77777777" w:rsidTr="00BD3D9E">
        <w:tc>
          <w:tcPr>
            <w:tcW w:w="2694" w:type="dxa"/>
            <w:vAlign w:val="center"/>
          </w:tcPr>
          <w:p w14:paraId="1510E1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B4E57F" w14:textId="77777777"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14:paraId="7891DA55" w14:textId="77777777" w:rsidTr="00BD3D9E">
        <w:tc>
          <w:tcPr>
            <w:tcW w:w="2694" w:type="dxa"/>
            <w:vAlign w:val="center"/>
          </w:tcPr>
          <w:p w14:paraId="44EC33F9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92A35C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3D3716" w:rsidRPr="00B41021" w14:paraId="301306FC" w14:textId="77777777" w:rsidTr="00BD3D9E">
        <w:tc>
          <w:tcPr>
            <w:tcW w:w="2694" w:type="dxa"/>
            <w:vAlign w:val="center"/>
          </w:tcPr>
          <w:p w14:paraId="0E71EDE3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FCC72" w14:textId="19DBE222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D3716" w:rsidRPr="00B41021" w14:paraId="3DEC6050" w14:textId="77777777" w:rsidTr="00BD3D9E">
        <w:tc>
          <w:tcPr>
            <w:tcW w:w="2694" w:type="dxa"/>
            <w:vAlign w:val="center"/>
          </w:tcPr>
          <w:p w14:paraId="64FFB5A8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E8CC24" w14:textId="58602F5F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D3716" w:rsidRPr="00B41021" w14:paraId="13FA28CB" w14:textId="77777777" w:rsidTr="00BD3D9E">
        <w:tc>
          <w:tcPr>
            <w:tcW w:w="2694" w:type="dxa"/>
            <w:vAlign w:val="center"/>
          </w:tcPr>
          <w:p w14:paraId="3037B1BC" w14:textId="77777777" w:rsidR="003D3716" w:rsidRPr="00B41021" w:rsidRDefault="003D3716" w:rsidP="003D37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AA3683" w14:textId="74FC3EDC" w:rsidR="003D3716" w:rsidRPr="0075790C" w:rsidRDefault="003D3716" w:rsidP="003D371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5FB3E477" w14:textId="77777777" w:rsidTr="00BD3D9E">
        <w:tc>
          <w:tcPr>
            <w:tcW w:w="2694" w:type="dxa"/>
            <w:vAlign w:val="center"/>
          </w:tcPr>
          <w:p w14:paraId="7EFBA81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76D85D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4845640F" w14:textId="77777777" w:rsidTr="00BD3D9E">
        <w:tc>
          <w:tcPr>
            <w:tcW w:w="2694" w:type="dxa"/>
            <w:vAlign w:val="center"/>
          </w:tcPr>
          <w:p w14:paraId="135089E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C6AF7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43BC4D28" w14:textId="77777777" w:rsidTr="00BD3D9E">
        <w:tc>
          <w:tcPr>
            <w:tcW w:w="2694" w:type="dxa"/>
            <w:vAlign w:val="center"/>
          </w:tcPr>
          <w:p w14:paraId="291C5D6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381CF9" w14:textId="1FCF8CC2" w:rsidR="005377D4" w:rsidRPr="0075790C" w:rsidRDefault="0075790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3D3716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6A8C1258" w14:textId="77777777" w:rsidTr="00BD3D9E">
        <w:tc>
          <w:tcPr>
            <w:tcW w:w="2694" w:type="dxa"/>
            <w:vAlign w:val="center"/>
          </w:tcPr>
          <w:p w14:paraId="29E8C31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8FF3E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0CEDA2D4" w14:textId="77777777" w:rsidTr="00BD3D9E">
        <w:tc>
          <w:tcPr>
            <w:tcW w:w="2694" w:type="dxa"/>
            <w:vAlign w:val="center"/>
          </w:tcPr>
          <w:p w14:paraId="1AA8B3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03C6C7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14:paraId="57D625C9" w14:textId="77777777" w:rsidTr="00BD3D9E">
        <w:tc>
          <w:tcPr>
            <w:tcW w:w="2694" w:type="dxa"/>
            <w:vAlign w:val="center"/>
          </w:tcPr>
          <w:p w14:paraId="138C4D06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73A6E4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6D53C77B" w14:textId="77777777" w:rsidTr="00BD3D9E">
        <w:tc>
          <w:tcPr>
            <w:tcW w:w="2694" w:type="dxa"/>
            <w:vAlign w:val="center"/>
          </w:tcPr>
          <w:p w14:paraId="4D74694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F6EFA2" w14:textId="77777777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1C356E6D" w14:textId="77777777" w:rsidTr="00BD3D9E">
        <w:tc>
          <w:tcPr>
            <w:tcW w:w="2694" w:type="dxa"/>
            <w:vAlign w:val="center"/>
          </w:tcPr>
          <w:p w14:paraId="4218AB4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F845B" w14:textId="33A440AE"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8DA1D7E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AA5911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651B2FB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C968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415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A1E5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93A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2FC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E0E6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8C9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E0D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4DDC" w14:textId="4E9E4A65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C703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9FB7E49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0872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DF4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3C73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CE3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BD91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363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EF2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2E1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2B83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08AC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287B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096FB2" w14:textId="1621A86F" w:rsidR="004A1554" w:rsidRPr="00864E57" w:rsidRDefault="001A40FB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610EC20D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E374404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39186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6933A8" w14:textId="5F11F2D9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701C56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6698E335" w14:textId="77777777" w:rsidR="00701C56" w:rsidRPr="00235374" w:rsidRDefault="00701C56" w:rsidP="00701C5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bookmarkStart w:id="0" w:name="_Hlk99298025"/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bookmarkEnd w:id="0"/>
    <w:p w14:paraId="317F1F96" w14:textId="77777777" w:rsidR="002F19B8" w:rsidRPr="0075790C" w:rsidRDefault="002F19B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74EB8F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8B74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067762C5" w14:textId="77777777" w:rsidTr="00F2457E">
        <w:tc>
          <w:tcPr>
            <w:tcW w:w="9778" w:type="dxa"/>
          </w:tcPr>
          <w:p w14:paraId="79CB4733" w14:textId="77777777"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14E12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D865C" w14:textId="2998DD2F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42E822F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5E91D8EF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A48B15B" w14:textId="77777777" w:rsidTr="00BD1F67">
        <w:tc>
          <w:tcPr>
            <w:tcW w:w="675" w:type="dxa"/>
            <w:vAlign w:val="center"/>
          </w:tcPr>
          <w:p w14:paraId="1C3C310D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4C328C99" w14:textId="48E3B521"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pracy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psychospołecznym rozwoju człowieka.</w:t>
            </w:r>
          </w:p>
        </w:tc>
      </w:tr>
      <w:tr w:rsidR="00E85FF5" w:rsidRPr="00864E57" w14:paraId="30BB126D" w14:textId="77777777" w:rsidTr="00BD1F67">
        <w:tc>
          <w:tcPr>
            <w:tcW w:w="675" w:type="dxa"/>
            <w:vAlign w:val="center"/>
          </w:tcPr>
          <w:p w14:paraId="61C8DFDA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2408855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14:paraId="326F2E4E" w14:textId="77777777" w:rsidTr="00BD1F67">
        <w:tc>
          <w:tcPr>
            <w:tcW w:w="675" w:type="dxa"/>
            <w:vAlign w:val="center"/>
          </w:tcPr>
          <w:p w14:paraId="13BEA8A8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458EC55" w14:textId="77777777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14:paraId="55C156B9" w14:textId="77777777" w:rsidTr="00BD1F67">
        <w:tc>
          <w:tcPr>
            <w:tcW w:w="675" w:type="dxa"/>
            <w:vAlign w:val="center"/>
          </w:tcPr>
          <w:p w14:paraId="6E502D5E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4E9507C" w14:textId="77ADECFE"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wykorzystania pracy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resocjalizacji osób nieletnich oraz dorosłych odbywających karę pozbawienia wolności.</w:t>
            </w:r>
          </w:p>
        </w:tc>
      </w:tr>
      <w:tr w:rsidR="00A52079" w:rsidRPr="00864E57" w14:paraId="7F67216C" w14:textId="77777777" w:rsidTr="00873D0C">
        <w:tc>
          <w:tcPr>
            <w:tcW w:w="675" w:type="dxa"/>
            <w:vAlign w:val="center"/>
          </w:tcPr>
          <w:p w14:paraId="7528E174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3C5E0EB6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327A2D1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14217533" w14:textId="56246EA3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6299D9D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7D3C56C5" w14:textId="77777777" w:rsidTr="00F2457E">
        <w:tc>
          <w:tcPr>
            <w:tcW w:w="1701" w:type="dxa"/>
          </w:tcPr>
          <w:p w14:paraId="43466B9D" w14:textId="055764B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01C56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F9B3874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80EDB3B" w14:textId="77777777" w:rsidR="003D3716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2AB44DCF" w14:textId="77777777" w:rsidR="003D3716" w:rsidRDefault="003D3716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1B2DB" w14:textId="180E035B" w:rsidR="00C64592" w:rsidRPr="00B41021" w:rsidRDefault="003D3716" w:rsidP="003D3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7C720A7" w14:textId="66C3EF0B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701C56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0FB2" w:rsidRPr="00864E57" w14:paraId="4EFE6DEA" w14:textId="77777777" w:rsidTr="002203B7">
        <w:tc>
          <w:tcPr>
            <w:tcW w:w="1701" w:type="dxa"/>
          </w:tcPr>
          <w:p w14:paraId="0ED9C070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8441B" w14:textId="77777777" w:rsidR="00A40FB2" w:rsidRPr="00864E57" w:rsidRDefault="00A40FB2" w:rsidP="00A40FB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 xml:space="preserve">Scharakteryzuje rodzaje więzi społecznych powstające w procesie pracy i ich znaczenie dla prawidłowej socjalizacji jednostki.  </w:t>
            </w:r>
          </w:p>
        </w:tc>
        <w:tc>
          <w:tcPr>
            <w:tcW w:w="1873" w:type="dxa"/>
            <w:vAlign w:val="center"/>
          </w:tcPr>
          <w:p w14:paraId="6DAEE1BC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B64A443" w14:textId="77777777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709F77B0" w14:textId="77777777" w:rsidTr="002203B7">
        <w:tc>
          <w:tcPr>
            <w:tcW w:w="1701" w:type="dxa"/>
          </w:tcPr>
          <w:p w14:paraId="11CB971B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A70AC44" w14:textId="4AEFF7C3" w:rsidR="00A40FB2" w:rsidRPr="004A60C8" w:rsidRDefault="00A40FB2" w:rsidP="00A40FB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4A60C8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701C56" w:rsidRPr="004A60C8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701C56" w:rsidRPr="004A60C8">
              <w:rPr>
                <w:rFonts w:ascii="Corbel" w:hAnsi="Corbel" w:cs="Times New Roman"/>
              </w:rPr>
              <w:t>życia</w:t>
            </w:r>
            <w:r w:rsidRPr="004A60C8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6916E06E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559FDAF3" w14:textId="044F4D6E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A40FB2" w:rsidRPr="00864E57" w14:paraId="5741E3D4" w14:textId="77777777" w:rsidTr="002203B7">
        <w:tc>
          <w:tcPr>
            <w:tcW w:w="1701" w:type="dxa"/>
          </w:tcPr>
          <w:p w14:paraId="30BF8BDB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F652035" w14:textId="77777777" w:rsidR="00A40FB2" w:rsidRPr="00864E57" w:rsidRDefault="00A40FB2" w:rsidP="00A4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 specyfikę nauczania, uczenia się i kształcenia zawodowego</w:t>
            </w:r>
            <w:r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788E44F4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5916E51" w14:textId="715A3459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6DFE443A" w14:textId="77777777" w:rsidTr="002203B7">
        <w:tc>
          <w:tcPr>
            <w:tcW w:w="1701" w:type="dxa"/>
          </w:tcPr>
          <w:p w14:paraId="15CE2405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488BCA" w14:textId="2561D549" w:rsidR="00A40FB2" w:rsidRPr="00864E57" w:rsidRDefault="00A40FB2" w:rsidP="00A40FB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701C56">
              <w:rPr>
                <w:rFonts w:ascii="Corbel" w:hAnsi="Corbel"/>
                <w:sz w:val="24"/>
                <w:szCs w:val="24"/>
              </w:rPr>
              <w:t>oceny informacji</w:t>
            </w:r>
            <w:r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701C56">
              <w:rPr>
                <w:rFonts w:ascii="Corbel" w:hAnsi="Corbel"/>
                <w:sz w:val="24"/>
                <w:szCs w:val="24"/>
              </w:rPr>
              <w:t>poglądów i</w:t>
            </w:r>
            <w:r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46A37964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7B1EF732" w14:textId="2C972DCC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44FA0E68" w14:textId="77777777" w:rsidTr="005970A2">
        <w:trPr>
          <w:trHeight w:val="467"/>
        </w:trPr>
        <w:tc>
          <w:tcPr>
            <w:tcW w:w="1701" w:type="dxa"/>
          </w:tcPr>
          <w:p w14:paraId="4E8C6A11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BCDF7E5" w14:textId="72B92349" w:rsidR="00A40FB2" w:rsidRPr="005970A2" w:rsidRDefault="00A40FB2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538F1"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t xml:space="preserve">pracuje w </w:t>
            </w:r>
            <w:r w:rsidR="00701C56">
              <w:rPr>
                <w:rFonts w:ascii="Corbel" w:hAnsi="Corbel"/>
                <w:sz w:val="24"/>
              </w:rPr>
              <w:t>zespole projekt</w:t>
            </w:r>
            <w:r>
              <w:rPr>
                <w:rFonts w:ascii="Corbel" w:hAnsi="Corbel"/>
                <w:sz w:val="24"/>
              </w:rPr>
              <w:t xml:space="preserve"> aktywizacji zawodowej skierowany do wybranej kategorii osób resocjalizowanych. </w:t>
            </w:r>
          </w:p>
        </w:tc>
        <w:tc>
          <w:tcPr>
            <w:tcW w:w="1873" w:type="dxa"/>
            <w:vAlign w:val="center"/>
          </w:tcPr>
          <w:p w14:paraId="21C0EEEA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10165CFD" w14:textId="77777777" w:rsidR="00A40FB2" w:rsidRPr="005970A2" w:rsidRDefault="00A40FB2" w:rsidP="00A40FB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A40FB2" w:rsidRPr="00864E57" w14:paraId="4EC8DC63" w14:textId="77777777" w:rsidTr="009538F1">
        <w:trPr>
          <w:trHeight w:val="986"/>
        </w:trPr>
        <w:tc>
          <w:tcPr>
            <w:tcW w:w="1701" w:type="dxa"/>
          </w:tcPr>
          <w:p w14:paraId="480783F9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635EB947" w14:textId="77777777" w:rsidR="00A40FB2" w:rsidRPr="009538F1" w:rsidRDefault="00A40FB2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019A5863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6C352B3E" w14:textId="77777777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A40FB2" w:rsidRPr="00864E57" w14:paraId="341B8612" w14:textId="77777777" w:rsidTr="009538F1">
        <w:trPr>
          <w:trHeight w:val="986"/>
        </w:trPr>
        <w:tc>
          <w:tcPr>
            <w:tcW w:w="1701" w:type="dxa"/>
          </w:tcPr>
          <w:p w14:paraId="0ABBAD57" w14:textId="77777777" w:rsidR="00A40FB2" w:rsidRPr="00864E57" w:rsidRDefault="00A40FB2" w:rsidP="00A40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5CF5A13E" w14:textId="5DF9499C" w:rsidR="00A40FB2" w:rsidRPr="009538F1" w:rsidRDefault="00701C56" w:rsidP="00A4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</w:rPr>
              <w:t>Przedstawi oczekiwane</w:t>
            </w:r>
            <w:r w:rsidR="00A40FB2">
              <w:rPr>
                <w:rFonts w:ascii="Corbel" w:hAnsi="Corbel"/>
              </w:rPr>
              <w:t xml:space="preserve"> skutki przygotowanych projektów społecznych, dotyczących</w:t>
            </w:r>
            <w:r w:rsidR="00A40FB2" w:rsidRPr="00C0207A">
              <w:rPr>
                <w:rFonts w:ascii="Corbel" w:hAnsi="Corbel"/>
              </w:rPr>
              <w:t xml:space="preserve"> </w:t>
            </w:r>
            <w:r w:rsidR="00A40FB2">
              <w:rPr>
                <w:rFonts w:ascii="Corbel" w:hAnsi="Corbel"/>
              </w:rPr>
              <w:t>aktywizacji zawodowej osób resocjalizowanych.</w:t>
            </w:r>
          </w:p>
        </w:tc>
        <w:tc>
          <w:tcPr>
            <w:tcW w:w="1873" w:type="dxa"/>
            <w:vAlign w:val="center"/>
          </w:tcPr>
          <w:p w14:paraId="66CF86E7" w14:textId="77777777" w:rsidR="00A40FB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5637C208" w14:textId="3EC4C181" w:rsidR="00A40FB2" w:rsidRPr="005970A2" w:rsidRDefault="00A40FB2" w:rsidP="00A40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1EF3403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F3A2D2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1BA4382" w14:textId="4E764BE3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701C56">
        <w:rPr>
          <w:rFonts w:ascii="Corbel" w:hAnsi="Corbel"/>
          <w:sz w:val="24"/>
          <w:szCs w:val="24"/>
        </w:rPr>
        <w:t>ćwiczeń</w:t>
      </w:r>
    </w:p>
    <w:p w14:paraId="21BC9763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6FC50965" w14:textId="77777777" w:rsidTr="007A083C">
        <w:tc>
          <w:tcPr>
            <w:tcW w:w="9639" w:type="dxa"/>
          </w:tcPr>
          <w:p w14:paraId="5B087D8A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11CF6DBD" w14:textId="77777777" w:rsidTr="007A083C">
        <w:tc>
          <w:tcPr>
            <w:tcW w:w="9639" w:type="dxa"/>
            <w:vAlign w:val="center"/>
          </w:tcPr>
          <w:p w14:paraId="750667F7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14:paraId="01865B26" w14:textId="77777777" w:rsidTr="007A083C">
        <w:tc>
          <w:tcPr>
            <w:tcW w:w="9639" w:type="dxa"/>
            <w:vAlign w:val="center"/>
          </w:tcPr>
          <w:p w14:paraId="5DB19AA4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14:paraId="76EEE31E" w14:textId="77777777" w:rsidTr="007A083C">
        <w:tc>
          <w:tcPr>
            <w:tcW w:w="9639" w:type="dxa"/>
            <w:vAlign w:val="center"/>
          </w:tcPr>
          <w:p w14:paraId="1A6384EB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lastRenderedPageBreak/>
              <w:t>Przygotowanie do pracy osób niedostosowanych społecznie, kształcenie ogólne i zawodowe.</w:t>
            </w:r>
          </w:p>
        </w:tc>
      </w:tr>
      <w:tr w:rsidR="00FB5974" w:rsidRPr="00864E57" w14:paraId="22358A49" w14:textId="77777777" w:rsidTr="007A083C">
        <w:tc>
          <w:tcPr>
            <w:tcW w:w="9639" w:type="dxa"/>
            <w:vAlign w:val="center"/>
          </w:tcPr>
          <w:p w14:paraId="458BE0A2" w14:textId="5441F74B" w:rsidR="00FB5974" w:rsidRPr="000353AD" w:rsidRDefault="000353AD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 xml:space="preserve">Motywy podejmowania </w:t>
            </w:r>
            <w:r w:rsidR="00701C56" w:rsidRPr="000353AD">
              <w:rPr>
                <w:rFonts w:ascii="Corbel" w:hAnsi="Corbel"/>
                <w:lang w:val="pl-PL"/>
              </w:rPr>
              <w:t>pracy przez</w:t>
            </w:r>
            <w:r w:rsidRPr="000353AD">
              <w:rPr>
                <w:rFonts w:ascii="Corbel" w:hAnsi="Corbel"/>
                <w:lang w:val="pl-PL"/>
              </w:rPr>
              <w:t xml:space="preserve"> osoby przebywające w placówkach resocjalizacyjnych i zakładach karnych</w:t>
            </w:r>
          </w:p>
        </w:tc>
      </w:tr>
      <w:tr w:rsidR="00FB5974" w:rsidRPr="00864E57" w14:paraId="4E1D36DA" w14:textId="77777777" w:rsidTr="007A083C">
        <w:tc>
          <w:tcPr>
            <w:tcW w:w="9639" w:type="dxa"/>
            <w:vAlign w:val="center"/>
          </w:tcPr>
          <w:p w14:paraId="7B06C76A" w14:textId="77777777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14:paraId="6BD8254D" w14:textId="77777777" w:rsidTr="007A083C">
        <w:tc>
          <w:tcPr>
            <w:tcW w:w="9639" w:type="dxa"/>
            <w:vAlign w:val="center"/>
          </w:tcPr>
          <w:p w14:paraId="51CE2116" w14:textId="2B7CFADD" w:rsidR="00FB5974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Resocjalizacja przez </w:t>
            </w:r>
            <w:r w:rsidR="00701C56" w:rsidRPr="000353AD">
              <w:rPr>
                <w:rFonts w:ascii="Corbel" w:hAnsi="Corbel"/>
                <w:sz w:val="24"/>
                <w:szCs w:val="24"/>
              </w:rPr>
              <w:t>pracę w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placówkach dla nieletnich.</w:t>
            </w:r>
          </w:p>
        </w:tc>
      </w:tr>
      <w:tr w:rsidR="000353AD" w:rsidRPr="00864E57" w14:paraId="713DCD94" w14:textId="77777777" w:rsidTr="007A083C">
        <w:tc>
          <w:tcPr>
            <w:tcW w:w="9639" w:type="dxa"/>
            <w:vAlign w:val="center"/>
          </w:tcPr>
          <w:p w14:paraId="5E1BF2C8" w14:textId="77777777" w:rsidR="000353AD" w:rsidRPr="000353AD" w:rsidRDefault="000353AD" w:rsidP="000353AD">
            <w:pPr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6B04885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EE9ED0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084F502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B1BC8D" w14:textId="77777777" w:rsidR="00701C56" w:rsidRPr="007C06EB" w:rsidRDefault="00701C56" w:rsidP="00701C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tekstów, metoda projektów, praca w grupach,</w:t>
      </w:r>
      <w:r>
        <w:rPr>
          <w:rFonts w:ascii="Corbel" w:hAnsi="Corbel"/>
          <w:b w:val="0"/>
          <w:smallCaps w:val="0"/>
          <w:szCs w:val="24"/>
        </w:rPr>
        <w:t xml:space="preserve"> prezentacja,</w:t>
      </w:r>
      <w:r w:rsidRPr="00235374">
        <w:rPr>
          <w:rFonts w:ascii="Corbel" w:hAnsi="Corbel"/>
          <w:b w:val="0"/>
          <w:smallCaps w:val="0"/>
          <w:szCs w:val="24"/>
        </w:rPr>
        <w:t xml:space="preserve"> dyskusja</w:t>
      </w:r>
    </w:p>
    <w:p w14:paraId="57355B8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5C2CE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390F3479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75CE5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1D9FD1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3BA739CF" w14:textId="77777777" w:rsidTr="00F441B8">
        <w:tc>
          <w:tcPr>
            <w:tcW w:w="1985" w:type="dxa"/>
            <w:vAlign w:val="center"/>
          </w:tcPr>
          <w:p w14:paraId="02CEE5D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5479CA" w14:textId="53C23D0C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D37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1D130E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4EA5D9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3D670D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1C0CD855" w14:textId="77777777" w:rsidTr="00F441B8">
        <w:tc>
          <w:tcPr>
            <w:tcW w:w="1985" w:type="dxa"/>
          </w:tcPr>
          <w:p w14:paraId="19619D1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0D4E5A8" w14:textId="6E7A62E4" w:rsidR="003202D6" w:rsidRPr="00235374" w:rsidRDefault="00701C5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127B3780" w14:textId="7657F283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01C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202D6" w:rsidRPr="00235374" w14:paraId="250923EC" w14:textId="77777777" w:rsidTr="00F441B8">
        <w:tc>
          <w:tcPr>
            <w:tcW w:w="1985" w:type="dxa"/>
          </w:tcPr>
          <w:p w14:paraId="33D3FC83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68AF9F1" w14:textId="31FDD5EA" w:rsidR="003202D6" w:rsidRPr="00235374" w:rsidRDefault="00701C5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CA36FE8" w14:textId="79BABB28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01C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01C56" w:rsidRPr="00235374" w14:paraId="224B5664" w14:textId="77777777" w:rsidTr="00F441B8">
        <w:tc>
          <w:tcPr>
            <w:tcW w:w="1985" w:type="dxa"/>
          </w:tcPr>
          <w:p w14:paraId="6AB3EC53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137E12F5" w14:textId="26551E3E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6A9FC92" w14:textId="3AB55926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29FBD8C6" w14:textId="77777777" w:rsidTr="00F441B8">
        <w:tc>
          <w:tcPr>
            <w:tcW w:w="1985" w:type="dxa"/>
          </w:tcPr>
          <w:p w14:paraId="3F3DFCA4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11EFE7" w14:textId="0C7B6ED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732D3FF7" w14:textId="13C709AD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201FA07D" w14:textId="77777777" w:rsidTr="00F441B8">
        <w:tc>
          <w:tcPr>
            <w:tcW w:w="1985" w:type="dxa"/>
          </w:tcPr>
          <w:p w14:paraId="3DB7E917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5375E3EE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6CB613B9" w14:textId="65F739DD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33F71A88" w14:textId="77777777" w:rsidTr="00F441B8">
        <w:tc>
          <w:tcPr>
            <w:tcW w:w="1985" w:type="dxa"/>
          </w:tcPr>
          <w:p w14:paraId="785C8DAF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1B46E36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51F4B601" w14:textId="6A3E055A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01C56" w:rsidRPr="00235374" w14:paraId="75F1AA11" w14:textId="77777777" w:rsidTr="00F441B8">
        <w:tc>
          <w:tcPr>
            <w:tcW w:w="1985" w:type="dxa"/>
          </w:tcPr>
          <w:p w14:paraId="29C1A8E7" w14:textId="77777777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05796310" w14:textId="77777777" w:rsidR="00701C56" w:rsidRPr="00235374" w:rsidRDefault="00701C56" w:rsidP="00701C5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CDA18AF" w14:textId="511DA7C9" w:rsidR="00701C56" w:rsidRPr="00235374" w:rsidRDefault="00701C56" w:rsidP="00701C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1A5D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3164CB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A73D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A7A4F" w14:textId="1FA0100B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0FF8A945" w14:textId="77777777" w:rsidTr="00864E57">
        <w:tc>
          <w:tcPr>
            <w:tcW w:w="9781" w:type="dxa"/>
          </w:tcPr>
          <w:p w14:paraId="2E8310ED" w14:textId="01EAEE6B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D401FC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752D210C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59B81A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827E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E7FF4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4B9018D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14:paraId="14363B04" w14:textId="77777777" w:rsidTr="00242E8E">
        <w:tc>
          <w:tcPr>
            <w:tcW w:w="4677" w:type="dxa"/>
          </w:tcPr>
          <w:p w14:paraId="72165921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5E664371" w14:textId="77777777"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14:paraId="26FB6488" w14:textId="77777777" w:rsidTr="00242E8E">
        <w:tc>
          <w:tcPr>
            <w:tcW w:w="4677" w:type="dxa"/>
          </w:tcPr>
          <w:p w14:paraId="7F82D0AE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588CA74F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2453" w:rsidRPr="00677469" w14:paraId="6F1D6DA0" w14:textId="77777777" w:rsidTr="00242E8E">
        <w:tc>
          <w:tcPr>
            <w:tcW w:w="4677" w:type="dxa"/>
          </w:tcPr>
          <w:p w14:paraId="154C7F4A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32BBF11B" w14:textId="43608FB2" w:rsidR="00FE2453" w:rsidRPr="00677469" w:rsidRDefault="00551347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2453" w:rsidRPr="00677469" w14:paraId="5EC0DE3C" w14:textId="77777777" w:rsidTr="00242E8E">
        <w:tc>
          <w:tcPr>
            <w:tcW w:w="4677" w:type="dxa"/>
          </w:tcPr>
          <w:p w14:paraId="570384A4" w14:textId="3AC052FC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D401FC">
              <w:rPr>
                <w:rFonts w:ascii="Corbel" w:hAnsi="Corbel"/>
                <w:sz w:val="24"/>
                <w:szCs w:val="24"/>
              </w:rPr>
              <w:lastRenderedPageBreak/>
              <w:t>studenta:</w:t>
            </w:r>
          </w:p>
          <w:p w14:paraId="3D04689C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2E0B20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1A6DBE64" w14:textId="77777777"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7F2DCE3A" w14:textId="4B3A53EE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</w:t>
            </w:r>
            <w:r w:rsidR="00D401FC">
              <w:rPr>
                <w:rFonts w:ascii="Corbel" w:hAnsi="Corbel"/>
                <w:sz w:val="24"/>
                <w:szCs w:val="24"/>
              </w:rPr>
              <w:t>projektowej.</w:t>
            </w:r>
          </w:p>
        </w:tc>
        <w:tc>
          <w:tcPr>
            <w:tcW w:w="4536" w:type="dxa"/>
          </w:tcPr>
          <w:p w14:paraId="1B4D875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4E39FA" w14:textId="77777777"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73DBB8" w14:textId="05942CE0" w:rsidR="00FE2453" w:rsidRPr="00677469" w:rsidRDefault="00551347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1" w:name="_GoBack"/>
            <w:bookmarkEnd w:id="1"/>
          </w:p>
        </w:tc>
      </w:tr>
      <w:tr w:rsidR="00FE2453" w:rsidRPr="00677469" w14:paraId="09A8BE56" w14:textId="77777777" w:rsidTr="00242E8E">
        <w:tc>
          <w:tcPr>
            <w:tcW w:w="4677" w:type="dxa"/>
          </w:tcPr>
          <w:p w14:paraId="281A8D13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1DA2CD3F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E2453" w:rsidRPr="00677469" w14:paraId="7C39CFA1" w14:textId="77777777" w:rsidTr="00242E8E">
        <w:tc>
          <w:tcPr>
            <w:tcW w:w="4677" w:type="dxa"/>
          </w:tcPr>
          <w:p w14:paraId="299A918E" w14:textId="77777777"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9CEC3C9" w14:textId="77777777"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DF5C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EEF0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06241A2A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2909ABA3" w14:textId="77777777" w:rsidTr="00A37A50">
        <w:tc>
          <w:tcPr>
            <w:tcW w:w="3544" w:type="dxa"/>
          </w:tcPr>
          <w:p w14:paraId="320C691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1287B2A" w14:textId="77777777"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58B3BAAB" w14:textId="77777777" w:rsidTr="00A37A50">
        <w:tc>
          <w:tcPr>
            <w:tcW w:w="3544" w:type="dxa"/>
          </w:tcPr>
          <w:p w14:paraId="730A5A96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F422C8B" w14:textId="77777777"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0D1AC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9D46F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7A0FFFAA" w14:textId="77777777" w:rsidTr="00A37A50">
        <w:tc>
          <w:tcPr>
            <w:tcW w:w="9072" w:type="dxa"/>
          </w:tcPr>
          <w:p w14:paraId="18E77561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8EC68F" w14:textId="77777777"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Bednarczyk H., Figurski J., Żurek H., Pedagogika Pracy. Doradztwo zawodowe, Radom 2008.</w:t>
            </w:r>
          </w:p>
          <w:p w14:paraId="3A6417E4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Leksykon resocjalizacji, Kraków 2012. </w:t>
            </w:r>
          </w:p>
          <w:p w14:paraId="2CF56BA9" w14:textId="77777777"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04424E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14:paraId="5E2FF71A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Praca w procesie readaptacji społecznej skazanych (w:) Lubelski Rocznik Pedagogiczny nr XXXIII, pod red. Z. </w:t>
            </w:r>
            <w:proofErr w:type="spellStart"/>
            <w:r w:rsidRPr="00420058">
              <w:rPr>
                <w:rFonts w:ascii="Corbel" w:hAnsi="Corbel"/>
                <w:lang w:val="pl-PL"/>
              </w:rPr>
              <w:t>Bartkowicza</w:t>
            </w:r>
            <w:proofErr w:type="spellEnd"/>
            <w:r w:rsidRPr="00420058">
              <w:rPr>
                <w:rFonts w:ascii="Corbel" w:hAnsi="Corbel"/>
                <w:lang w:val="pl-PL"/>
              </w:rPr>
              <w:t>, A. Węglińskiego, Lublin 2014, s. 148 – 164.</w:t>
            </w:r>
          </w:p>
          <w:p w14:paraId="71278FF0" w14:textId="77777777"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420058">
              <w:rPr>
                <w:rFonts w:ascii="Corbel" w:hAnsi="Corbel" w:cs="Arial"/>
                <w:bCs/>
              </w:rPr>
              <w:t>Podstawy</w:t>
            </w:r>
            <w:r w:rsidRPr="00420058">
              <w:rPr>
                <w:rFonts w:ascii="Corbel" w:hAnsi="Corbel" w:cs="Arial"/>
                <w:b/>
                <w:bCs/>
              </w:rPr>
              <w:t xml:space="preserve"> </w:t>
            </w:r>
            <w:r w:rsidRPr="00420058">
              <w:rPr>
                <w:rFonts w:ascii="Corbel" w:hAnsi="Corbel" w:cs="Arial"/>
                <w:bCs/>
              </w:rPr>
              <w:t>pedagogiki pracy, Bydgoszcz 2005.</w:t>
            </w:r>
          </w:p>
          <w:p w14:paraId="15C9CED2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>Wilk M., Znaczenie pracy w opiniach uwięzionych, w: Tożsamość osobowa dewiantów a ich reintegracja społeczna, red. A. Kieszkowska, Oficyna Wydawnicza Impuls, Kraków 2011.</w:t>
            </w:r>
          </w:p>
        </w:tc>
      </w:tr>
      <w:tr w:rsidR="004A1554" w:rsidRPr="00864E57" w14:paraId="76D4EC88" w14:textId="77777777" w:rsidTr="00A37A50">
        <w:tc>
          <w:tcPr>
            <w:tcW w:w="9072" w:type="dxa"/>
          </w:tcPr>
          <w:p w14:paraId="52D0117F" w14:textId="77777777" w:rsidR="004A1554" w:rsidRPr="00420058" w:rsidRDefault="004A1554" w:rsidP="0042005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2005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33C0EFB" w14:textId="77777777" w:rsidR="00420058" w:rsidRP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>Ciosek M., 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14:paraId="02175E7F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Glińska-Lachowicz A., Praca w polskim systemie penitencjarnym od 1925 r., w: Studia i rozprawy z pedagogiki resocjalizacyjnej, red. Z. Jasiński, I.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Mudrecka</w:t>
            </w:r>
            <w:proofErr w:type="spellEnd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Wydawnictwo UO, Opole 2004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. </w:t>
            </w:r>
          </w:p>
          <w:p w14:paraId="5590E129" w14:textId="77777777" w:rsidR="00420058" w:rsidRPr="00420058" w:rsidRDefault="00420058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420058">
              <w:rPr>
                <w:rFonts w:ascii="Corbel" w:hAnsi="Corbel"/>
                <w:lang w:eastAsia="en-US"/>
              </w:rPr>
              <w:t>Konopczyński, M. Metody twórczej</w:t>
            </w:r>
            <w:r w:rsidR="00D94D63">
              <w:rPr>
                <w:rFonts w:ascii="Corbel" w:hAnsi="Corbel"/>
                <w:lang w:eastAsia="en-US"/>
              </w:rPr>
              <w:t xml:space="preserve"> resocjalizacji,</w:t>
            </w:r>
            <w:r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14:paraId="321AD67D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icz, Dydaktyka ogólna,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14:paraId="4AA335CD" w14:textId="77777777"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</w:pP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Kwieciński J., Waligóra B., Zatrudnienie w strategii readaptacji społecznej skazanych – na przykładzie Zakładu Karnego we Wronkach, w: Pomoc postpenitencjarna w kontekście strategii działań resocjalizacyjnych, </w:t>
            </w:r>
            <w:proofErr w:type="spellStart"/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B.Skafiriak</w:t>
            </w:r>
            <w:proofErr w:type="spellEnd"/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(</w:t>
            </w:r>
            <w:r w:rsidR="00FE2453"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red.</w:t>
            </w:r>
            <w:r w:rsidR="00FE245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)</w:t>
            </w:r>
            <w:r w:rsidRPr="00420058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>, Kraków 2007.</w:t>
            </w:r>
            <w:r w:rsidR="00D94D63">
              <w:rPr>
                <w:rFonts w:ascii="Corbel" w:hAnsi="Corbel"/>
                <w:color w:val="111111"/>
                <w:sz w:val="24"/>
                <w:szCs w:val="24"/>
                <w:shd w:val="clear" w:color="auto" w:fill="FBFBF3"/>
              </w:rPr>
              <w:t xml:space="preserve"> </w:t>
            </w:r>
          </w:p>
          <w:p w14:paraId="172E9B19" w14:textId="486AB6A6"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jako środek resocjalizacji skazanych na karę pozbawienia wolności (w:) Pedagogika </w:t>
            </w:r>
            <w:r w:rsidR="00D401FC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Pracy, 2004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45, s. 103-111.</w:t>
            </w:r>
          </w:p>
          <w:p w14:paraId="7200BC29" w14:textId="77777777"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213F65EF" w14:textId="77777777"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1836512D" w14:textId="77777777" w:rsidR="00420058" w:rsidRPr="00420058" w:rsidRDefault="00FE2453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Resocjalizacja, Urban B., Stanik J.M (red.), Warszawa 2007.</w:t>
            </w:r>
          </w:p>
        </w:tc>
      </w:tr>
    </w:tbl>
    <w:p w14:paraId="61831EA8" w14:textId="77777777"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BF99B" w14:textId="77777777"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E3A2B2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7279B" w14:textId="77777777" w:rsidR="005F45F7" w:rsidRDefault="005F45F7" w:rsidP="00C64592">
      <w:pPr>
        <w:spacing w:after="0" w:line="240" w:lineRule="auto"/>
      </w:pPr>
      <w:r>
        <w:separator/>
      </w:r>
    </w:p>
  </w:endnote>
  <w:endnote w:type="continuationSeparator" w:id="0">
    <w:p w14:paraId="18C2D858" w14:textId="77777777" w:rsidR="005F45F7" w:rsidRDefault="005F45F7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2055D" w14:textId="77777777" w:rsidR="005F45F7" w:rsidRDefault="005F45F7" w:rsidP="00C64592">
      <w:pPr>
        <w:spacing w:after="0" w:line="240" w:lineRule="auto"/>
      </w:pPr>
      <w:r>
        <w:separator/>
      </w:r>
    </w:p>
  </w:footnote>
  <w:footnote w:type="continuationSeparator" w:id="0">
    <w:p w14:paraId="38FB639E" w14:textId="77777777" w:rsidR="005F45F7" w:rsidRDefault="005F45F7" w:rsidP="00C64592">
      <w:pPr>
        <w:spacing w:after="0" w:line="240" w:lineRule="auto"/>
      </w:pPr>
      <w:r>
        <w:continuationSeparator/>
      </w:r>
    </w:p>
  </w:footnote>
  <w:footnote w:id="1">
    <w:p w14:paraId="197A06FB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7230"/>
    <w:rsid w:val="000D6DEA"/>
    <w:rsid w:val="0015053B"/>
    <w:rsid w:val="001576F1"/>
    <w:rsid w:val="001A40FB"/>
    <w:rsid w:val="001B1397"/>
    <w:rsid w:val="001C3A3F"/>
    <w:rsid w:val="001D4BE9"/>
    <w:rsid w:val="001F4B84"/>
    <w:rsid w:val="00254CB9"/>
    <w:rsid w:val="00261EA0"/>
    <w:rsid w:val="00287CD9"/>
    <w:rsid w:val="002A5F10"/>
    <w:rsid w:val="002C1892"/>
    <w:rsid w:val="002C5331"/>
    <w:rsid w:val="002F19B8"/>
    <w:rsid w:val="003202D6"/>
    <w:rsid w:val="00341A22"/>
    <w:rsid w:val="003D3716"/>
    <w:rsid w:val="003D4E84"/>
    <w:rsid w:val="003D7195"/>
    <w:rsid w:val="00404FB3"/>
    <w:rsid w:val="00420058"/>
    <w:rsid w:val="00457D8D"/>
    <w:rsid w:val="00461713"/>
    <w:rsid w:val="004A1554"/>
    <w:rsid w:val="004A60C8"/>
    <w:rsid w:val="004F13EF"/>
    <w:rsid w:val="0052543B"/>
    <w:rsid w:val="005377D4"/>
    <w:rsid w:val="005421B3"/>
    <w:rsid w:val="00551347"/>
    <w:rsid w:val="00570A46"/>
    <w:rsid w:val="005970A2"/>
    <w:rsid w:val="005D112B"/>
    <w:rsid w:val="005F3C2B"/>
    <w:rsid w:val="005F45F7"/>
    <w:rsid w:val="0062721E"/>
    <w:rsid w:val="00686C83"/>
    <w:rsid w:val="006D5B4D"/>
    <w:rsid w:val="006F58DD"/>
    <w:rsid w:val="00701C56"/>
    <w:rsid w:val="00705B00"/>
    <w:rsid w:val="00733BD3"/>
    <w:rsid w:val="007457D7"/>
    <w:rsid w:val="007468FE"/>
    <w:rsid w:val="0075790C"/>
    <w:rsid w:val="00761405"/>
    <w:rsid w:val="007A083C"/>
    <w:rsid w:val="007F6E60"/>
    <w:rsid w:val="008023D3"/>
    <w:rsid w:val="008443E7"/>
    <w:rsid w:val="00864E57"/>
    <w:rsid w:val="0086517C"/>
    <w:rsid w:val="0088184E"/>
    <w:rsid w:val="008E19BF"/>
    <w:rsid w:val="0092239D"/>
    <w:rsid w:val="0092737B"/>
    <w:rsid w:val="009538F1"/>
    <w:rsid w:val="00987695"/>
    <w:rsid w:val="009A2CC6"/>
    <w:rsid w:val="009A78FA"/>
    <w:rsid w:val="00A37A50"/>
    <w:rsid w:val="00A40FB2"/>
    <w:rsid w:val="00A52079"/>
    <w:rsid w:val="00A607C1"/>
    <w:rsid w:val="00B425A5"/>
    <w:rsid w:val="00B45323"/>
    <w:rsid w:val="00B50E33"/>
    <w:rsid w:val="00B7759D"/>
    <w:rsid w:val="00BD0321"/>
    <w:rsid w:val="00BE2BCB"/>
    <w:rsid w:val="00BF1338"/>
    <w:rsid w:val="00C36BEB"/>
    <w:rsid w:val="00C43355"/>
    <w:rsid w:val="00C54FF9"/>
    <w:rsid w:val="00C553E5"/>
    <w:rsid w:val="00C64592"/>
    <w:rsid w:val="00CD026A"/>
    <w:rsid w:val="00D34800"/>
    <w:rsid w:val="00D401FC"/>
    <w:rsid w:val="00D94D63"/>
    <w:rsid w:val="00DA6973"/>
    <w:rsid w:val="00DB2603"/>
    <w:rsid w:val="00E8563F"/>
    <w:rsid w:val="00E85FF5"/>
    <w:rsid w:val="00EC6279"/>
    <w:rsid w:val="00ED35B1"/>
    <w:rsid w:val="00EE35BE"/>
    <w:rsid w:val="00F546B1"/>
    <w:rsid w:val="00F77A11"/>
    <w:rsid w:val="00FB5974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7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2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36732-D014-46B5-A8EE-326289DCB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2022-04-27T18:55:00Z</dcterms:created>
  <dcterms:modified xsi:type="dcterms:W3CDTF">2022-06-22T16:09:00Z</dcterms:modified>
</cp:coreProperties>
</file>